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color w:val="0F172A"/>
          <w:sz w:val="26"/>
        </w:rPr>
        <w:t>INFORME TÉCNICO DE AUDITORÍA, CONCERTACIÓN Y OBJECIÓN DE GLOSAS MÉDICAS</w:t>
        <w:br/>
      </w:r>
      <w:r>
        <w:rPr>
          <w:rFonts w:ascii="Calibri" w:hAnsi="Calibri"/>
          <w:i/>
          <w:color w:val="64748B"/>
          <w:sz w:val="19"/>
        </w:rPr>
        <w:t>Soporte Documental para Mesa de Trabajo y Concertación Bilateral de Cartera (Res. 2284/2023 · Dec. 441/2022 · Ley 1438/2011)</w:t>
      </w:r>
    </w:p>
    <w:p/>
    <w:p>
      <w:pPr>
        <w:spacing w:line="276" w:lineRule="auto"/>
      </w:pPr>
      <w:r>
        <w:rPr>
          <w:rFonts w:ascii="Calibri" w:hAnsi="Calibri"/>
          <w:b/>
          <w:color w:val="0F172A"/>
          <w:sz w:val="20"/>
        </w:rPr>
        <w:t>Señores:</w:t>
        <w:br/>
        <w:t>GERENCIA DE AUDITORÍA MÉDICA, CUENTAS Y CONCILIACIONES</w:t>
        <w:br/>
        <w:t>NUEVA EPS S.A.</w:t>
        <w:br/>
        <w:t>NIT: 900.156.264-2</w:t>
        <w:br/>
        <w:t>Ciudad y Referencia: Soporte de Objeciones y Mesa de Trabajo Cuentas Médicas Radicación Agosto 2026</w:t>
        <w:br/>
      </w:r>
    </w:p>
    <w:p>
      <w:pPr>
        <w:spacing w:line="276" w:lineRule="auto"/>
        <w:jc w:val="both"/>
      </w:pPr>
      <w:r>
        <w:rPr>
          <w:rFonts w:ascii="Calibri" w:hAnsi="Calibri"/>
          <w:sz w:val="20"/>
        </w:rPr>
        <w:t>La institución prestadora de servicios de salud CLÍNICA METROPOLITANA DE ESPECIALIDADES S.A.S., identificada con NIT 900.543.210-1 y Código de Habilitación REPS No. 680010123401, a través de su Coordinación de Auditoría Médica y Cartera, con el soporte técnico-pericial del consultor jurídico MANUEL ENRIQUE PRADA FORERO (T.P. No. 176.633 del C.S. de la Judicatura), presenta el formal INFORME TÉCNICO DE OBJECIÓN MOTIVADA Y SUBSANACIÓN DE GLOSAS, estructurado dentro del término legal de quince (15) días hábiles previsto en el artículo 56 de la Ley 1438 de 2011, con el fin de servir como soporte probatorio y documental para la mesa de concertación y conciliación de cartera con la entidad pagadora NUEVA EPS S.A., conforme al estándar imperativo de la Resolución 2284 de 2023 y Decreto 441 de 2022, con sustento en los siguientes hechos y fundamentos de auditoría:</w:t>
      </w:r>
    </w:p>
    <w:p>
      <w:pPr>
        <w:spacing w:line="276" w:lineRule="auto"/>
      </w:pPr>
      <w:r>
        <w:rPr>
          <w:rFonts w:ascii="Calibri" w:hAnsi="Calibri"/>
          <w:b/>
          <w:color w:val="0F172A"/>
          <w:sz w:val="22"/>
        </w:rPr>
        <w:t>I. RESUMEN EJECUTIVO Y TRAZABILIDAD FINANCIERA DE LA CUENTA</w:t>
        <w:br/>
      </w:r>
    </w:p>
    <w:p>
      <w:pPr>
        <w:spacing w:line="264" w:lineRule="auto"/>
        <w:ind w:left="288"/>
      </w:pPr>
      <w:r>
        <w:rPr>
          <w:rFonts w:ascii="Calibri" w:hAnsi="Calibri"/>
          <w:b/>
          <w:sz w:val="20"/>
        </w:rPr>
        <w:t xml:space="preserve">• Valor Total Facturado Auditado: </w:t>
      </w:r>
      <w:r>
        <w:rPr>
          <w:rFonts w:ascii="Calibri" w:hAnsi="Calibri"/>
          <w:sz w:val="20"/>
        </w:rPr>
        <w:t>$120.000.000 COP (100.0%)</w:t>
      </w:r>
    </w:p>
    <w:p>
      <w:pPr>
        <w:spacing w:line="264" w:lineRule="auto"/>
        <w:ind w:left="288"/>
      </w:pPr>
      <w:r>
        <w:rPr>
          <w:rFonts w:ascii="Calibri" w:hAnsi="Calibri"/>
          <w:b/>
          <w:sz w:val="20"/>
        </w:rPr>
        <w:t xml:space="preserve">• Valor Total Notificado en Glosas EPS: </w:t>
      </w:r>
      <w:r>
        <w:rPr>
          <w:rFonts w:ascii="Calibri" w:hAnsi="Calibri"/>
          <w:sz w:val="20"/>
        </w:rPr>
        <w:t>$45.000.000 COP (Tasa de Glosa: 37.50%)</w:t>
      </w:r>
    </w:p>
    <w:p>
      <w:pPr>
        <w:spacing w:line="264" w:lineRule="auto"/>
        <w:ind w:left="288"/>
      </w:pPr>
      <w:r>
        <w:rPr>
          <w:rFonts w:ascii="Calibri" w:hAnsi="Calibri"/>
          <w:b/>
          <w:sz w:val="20"/>
        </w:rPr>
        <w:t xml:space="preserve">• Valor Glosas Aceptadas por IPS (Nota Crédito): </w:t>
      </w:r>
      <w:r>
        <w:rPr>
          <w:rFonts w:ascii="Calibri" w:hAnsi="Calibri"/>
          <w:sz w:val="20"/>
        </w:rPr>
        <w:t>$2.500.000 COP (5.56% del valor glosado)</w:t>
      </w:r>
    </w:p>
    <w:p>
      <w:pPr>
        <w:spacing w:line="264" w:lineRule="auto"/>
        <w:ind w:left="288"/>
      </w:pPr>
      <w:r>
        <w:rPr>
          <w:rFonts w:ascii="Calibri" w:hAnsi="Calibri"/>
          <w:b/>
          <w:sz w:val="20"/>
        </w:rPr>
        <w:t xml:space="preserve">• Valor Glosas Objetadas y Subsanadas (Cobro Reclamado): </w:t>
      </w:r>
      <w:r>
        <w:rPr>
          <w:rFonts w:ascii="Calibri" w:hAnsi="Calibri"/>
          <w:sz w:val="20"/>
        </w:rPr>
        <w:t>$42.500.000 COP (94.44% del valor glosado)</w:t>
      </w:r>
    </w:p>
    <w:p>
      <w:r>
        <w:rPr>
          <w:rFonts w:ascii="Calibri" w:hAnsi="Calibri"/>
          <w:b/>
          <w:color w:val="0F172A"/>
          <w:sz w:val="22"/>
        </w:rPr>
        <w:t>II. TABLA PERICIAL Y DETERMINISTA DE OBJECIÓN (RESOLUCIÓN 2284 DE 2023)</w:t>
        <w:br/>
      </w:r>
    </w:p>
    <w:tbl>
      <w:tblPr>
        <w:tblW w:type="auto" w:w="0"/>
        <w:jc w:val="center"/>
        <w:tblLook w:firstColumn="1" w:firstRow="1" w:lastColumn="0" w:lastRow="0" w:noHBand="0" w:noVBand="1" w:val="04A0"/>
      </w:tblPr>
      <w:tblGrid>
        <w:gridCol w:w="1345"/>
        <w:gridCol w:w="1345"/>
        <w:gridCol w:w="1345"/>
        <w:gridCol w:w="1345"/>
        <w:gridCol w:w="1345"/>
        <w:gridCol w:w="1345"/>
        <w:gridCol w:w="1345"/>
      </w:tblGrid>
      <w:tr>
        <w:tc>
          <w:tcPr>
            <w:tcW w:type="dxa" w:w="1224"/>
            <w:tcMar>
              <w:top w:w="80" w:type="dxa"/>
              <w:bottom w:w="80" w:type="dxa"/>
              <w:left w:w="100" w:type="dxa"/>
              <w:right w:w="100" w:type="dxa"/>
            </w:tcMar>
            <w:shd w:fill="0F172A"/>
          </w:tcPr>
          <w:p>
            <w:pPr>
              <w:jc w:val="center"/>
            </w:pPr>
            <w:r>
              <w:rPr>
                <w:rFonts w:ascii="Calibri" w:hAnsi="Calibri"/>
                <w:b/>
                <w:color w:val="FFFFFF"/>
                <w:sz w:val="17"/>
              </w:rPr>
              <w:t>Factura</w:t>
            </w:r>
          </w:p>
        </w:tc>
        <w:tc>
          <w:tcPr>
            <w:tcW w:type="dxa" w:w="1080"/>
            <w:tcMar>
              <w:top w:w="80" w:type="dxa"/>
              <w:bottom w:w="80" w:type="dxa"/>
              <w:left w:w="100" w:type="dxa"/>
              <w:right w:w="100" w:type="dxa"/>
            </w:tcMar>
            <w:shd w:fill="0F172A"/>
          </w:tcPr>
          <w:p>
            <w:pPr>
              <w:jc w:val="center"/>
            </w:pPr>
            <w:r>
              <w:rPr>
                <w:rFonts w:ascii="Calibri" w:hAnsi="Calibri"/>
                <w:b/>
                <w:color w:val="FFFFFF"/>
                <w:sz w:val="17"/>
              </w:rPr>
              <w:t>Radic.</w:t>
            </w:r>
          </w:p>
        </w:tc>
        <w:tc>
          <w:tcPr>
            <w:tcW w:type="dxa" w:w="792"/>
            <w:tcMar>
              <w:top w:w="80" w:type="dxa"/>
              <w:bottom w:w="80" w:type="dxa"/>
              <w:left w:w="100" w:type="dxa"/>
              <w:right w:w="100" w:type="dxa"/>
            </w:tcMar>
            <w:shd w:fill="0F172A"/>
          </w:tcPr>
          <w:p>
            <w:pPr>
              <w:jc w:val="center"/>
            </w:pPr>
            <w:r>
              <w:rPr>
                <w:rFonts w:ascii="Calibri" w:hAnsi="Calibri"/>
                <w:b/>
                <w:color w:val="FFFFFF"/>
                <w:sz w:val="17"/>
              </w:rPr>
              <w:t>Cód.</w:t>
            </w:r>
          </w:p>
        </w:tc>
        <w:tc>
          <w:tcPr>
            <w:tcW w:type="dxa" w:w="2664"/>
            <w:tcMar>
              <w:top w:w="80" w:type="dxa"/>
              <w:bottom w:w="80" w:type="dxa"/>
              <w:left w:w="100" w:type="dxa"/>
              <w:right w:w="100" w:type="dxa"/>
            </w:tcMar>
            <w:shd w:fill="0F172A"/>
          </w:tcPr>
          <w:p>
            <w:pPr>
              <w:jc w:val="left"/>
            </w:pPr>
            <w:r>
              <w:rPr>
                <w:rFonts w:ascii="Calibri" w:hAnsi="Calibri"/>
                <w:b/>
                <w:color w:val="FFFFFF"/>
                <w:sz w:val="17"/>
              </w:rPr>
              <w:t>Causal Notificada EPS</w:t>
            </w:r>
          </w:p>
        </w:tc>
        <w:tc>
          <w:tcPr>
            <w:tcW w:type="dxa" w:w="1368"/>
            <w:tcMar>
              <w:top w:w="80" w:type="dxa"/>
              <w:bottom w:w="80" w:type="dxa"/>
              <w:left w:w="100" w:type="dxa"/>
              <w:right w:w="100" w:type="dxa"/>
            </w:tcMar>
            <w:shd w:fill="0F172A"/>
          </w:tcPr>
          <w:p>
            <w:pPr>
              <w:jc w:val="right"/>
            </w:pPr>
            <w:r>
              <w:rPr>
                <w:rFonts w:ascii="Calibri" w:hAnsi="Calibri"/>
                <w:b/>
                <w:color w:val="FFFFFF"/>
                <w:sz w:val="17"/>
              </w:rPr>
              <w:t>Glosado ($)</w:t>
            </w:r>
          </w:p>
        </w:tc>
        <w:tc>
          <w:tcPr>
            <w:tcW w:type="dxa" w:w="1368"/>
            <w:tcMar>
              <w:top w:w="80" w:type="dxa"/>
              <w:bottom w:w="80" w:type="dxa"/>
              <w:left w:w="100" w:type="dxa"/>
              <w:right w:w="100" w:type="dxa"/>
            </w:tcMar>
            <w:shd w:fill="0F172A"/>
          </w:tcPr>
          <w:p>
            <w:pPr>
              <w:jc w:val="right"/>
            </w:pPr>
            <w:r>
              <w:rPr>
                <w:rFonts w:ascii="Calibri" w:hAnsi="Calibri"/>
                <w:b/>
                <w:color w:val="FFFFFF"/>
                <w:sz w:val="17"/>
              </w:rPr>
              <w:t>Objetado ($)</w:t>
            </w:r>
          </w:p>
        </w:tc>
        <w:tc>
          <w:tcPr>
            <w:tcW w:type="dxa" w:w="2160"/>
            <w:tcMar>
              <w:top w:w="80" w:type="dxa"/>
              <w:bottom w:w="80" w:type="dxa"/>
              <w:left w:w="100" w:type="dxa"/>
              <w:right w:w="100" w:type="dxa"/>
            </w:tcMar>
            <w:shd w:fill="0F172A"/>
          </w:tcPr>
          <w:p>
            <w:pPr>
              <w:jc w:val="left"/>
            </w:pPr>
            <w:r>
              <w:rPr>
                <w:rFonts w:ascii="Calibri" w:hAnsi="Calibri"/>
                <w:b/>
                <w:color w:val="FFFFFF"/>
                <w:sz w:val="17"/>
              </w:rPr>
              <w:t>Cód. Rpta / Dictamen</w:t>
            </w:r>
          </w:p>
        </w:tc>
      </w:tr>
      <w:tr>
        <w:tc>
          <w:tcPr>
            <w:tcW w:type="dxa" w:w="1224"/>
            <w:tcMar>
              <w:top w:w="80" w:type="dxa"/>
              <w:bottom w:w="80" w:type="dxa"/>
              <w:left w:w="100" w:type="dxa"/>
              <w:right w:w="100" w:type="dxa"/>
            </w:tcMar>
            <w:shd w:fill="F8FAFC"/>
          </w:tcPr>
          <w:p>
            <w:pPr>
              <w:jc w:val="center"/>
            </w:pPr>
            <w:r>
              <w:rPr>
                <w:rFonts w:ascii="Calibri" w:hAnsi="Calibri"/>
                <w:sz w:val="17"/>
              </w:rPr>
              <w:t>FE-4011</w:t>
            </w:r>
          </w:p>
        </w:tc>
        <w:tc>
          <w:tcPr>
            <w:tcW w:type="dxa" w:w="1080"/>
            <w:tcMar>
              <w:top w:w="80" w:type="dxa"/>
              <w:bottom w:w="80" w:type="dxa"/>
              <w:left w:w="100" w:type="dxa"/>
              <w:right w:w="100" w:type="dxa"/>
            </w:tcMar>
            <w:shd w:fill="F8FAFC"/>
          </w:tcPr>
          <w:p>
            <w:pPr>
              <w:jc w:val="center"/>
            </w:pPr>
            <w:r>
              <w:rPr>
                <w:rFonts w:ascii="Calibri" w:hAnsi="Calibri"/>
                <w:sz w:val="17"/>
              </w:rPr>
              <w:t>03/08/26</w:t>
            </w:r>
          </w:p>
        </w:tc>
        <w:tc>
          <w:tcPr>
            <w:tcW w:type="dxa" w:w="792"/>
            <w:tcMar>
              <w:top w:w="80" w:type="dxa"/>
              <w:bottom w:w="80" w:type="dxa"/>
              <w:left w:w="100" w:type="dxa"/>
              <w:right w:w="100" w:type="dxa"/>
            </w:tcMar>
            <w:shd w:fill="F8FAFC"/>
          </w:tcPr>
          <w:p>
            <w:pPr>
              <w:jc w:val="center"/>
            </w:pPr>
            <w:r>
              <w:rPr>
                <w:rFonts w:ascii="Calibri" w:hAnsi="Calibri"/>
                <w:sz w:val="17"/>
              </w:rPr>
              <w:t>TA02</w:t>
            </w:r>
          </w:p>
        </w:tc>
        <w:tc>
          <w:tcPr>
            <w:tcW w:type="dxa" w:w="2664"/>
            <w:tcMar>
              <w:top w:w="80" w:type="dxa"/>
              <w:bottom w:w="80" w:type="dxa"/>
              <w:left w:w="100" w:type="dxa"/>
              <w:right w:w="100" w:type="dxa"/>
            </w:tcMar>
            <w:shd w:fill="F8FAFC"/>
          </w:tcPr>
          <w:p>
            <w:pPr>
              <w:jc w:val="left"/>
            </w:pPr>
            <w:r>
              <w:rPr>
                <w:rFonts w:ascii="Calibri" w:hAnsi="Calibri"/>
                <w:sz w:val="17"/>
              </w:rPr>
              <w:t>Diferencias tarifarias sala cirugía</w:t>
            </w:r>
          </w:p>
        </w:tc>
        <w:tc>
          <w:tcPr>
            <w:tcW w:type="dxa" w:w="1368"/>
            <w:tcMar>
              <w:top w:w="80" w:type="dxa"/>
              <w:bottom w:w="80" w:type="dxa"/>
              <w:left w:w="100" w:type="dxa"/>
              <w:right w:w="100" w:type="dxa"/>
            </w:tcMar>
            <w:shd w:fill="F8FAFC"/>
          </w:tcPr>
          <w:p>
            <w:pPr>
              <w:jc w:val="right"/>
            </w:pPr>
            <w:r>
              <w:rPr>
                <w:rFonts w:ascii="Calibri" w:hAnsi="Calibri"/>
                <w:sz w:val="17"/>
              </w:rPr>
              <w:t>$4.200.000</w:t>
            </w:r>
          </w:p>
        </w:tc>
        <w:tc>
          <w:tcPr>
            <w:tcW w:type="dxa" w:w="1368"/>
            <w:tcMar>
              <w:top w:w="80" w:type="dxa"/>
              <w:bottom w:w="80" w:type="dxa"/>
              <w:left w:w="100" w:type="dxa"/>
              <w:right w:w="100" w:type="dxa"/>
            </w:tcMar>
            <w:shd w:fill="F8FAFC"/>
          </w:tcPr>
          <w:p>
            <w:pPr>
              <w:jc w:val="right"/>
            </w:pPr>
            <w:r>
              <w:rPr>
                <w:rFonts w:ascii="Calibri" w:hAnsi="Calibri"/>
                <w:sz w:val="17"/>
              </w:rPr>
              <w:t>$4.200.000</w:t>
            </w:r>
          </w:p>
        </w:tc>
        <w:tc>
          <w:tcPr>
            <w:tcW w:type="dxa" w:w="2160"/>
            <w:tcMar>
              <w:top w:w="80" w:type="dxa"/>
              <w:bottom w:w="80" w:type="dxa"/>
              <w:left w:w="100" w:type="dxa"/>
              <w:right w:w="100" w:type="dxa"/>
            </w:tcMar>
            <w:shd w:fill="F8FAFC"/>
          </w:tcPr>
          <w:p>
            <w:pPr>
              <w:jc w:val="left"/>
            </w:pPr>
            <w:r>
              <w:rPr>
                <w:rFonts w:ascii="Calibri" w:hAnsi="Calibri"/>
                <w:sz w:val="17"/>
              </w:rPr>
              <w:t>RE9502 · Extemporánea (25 d.h. Firme EPS)</w:t>
            </w:r>
          </w:p>
        </w:tc>
      </w:tr>
      <w:tr>
        <w:tc>
          <w:tcPr>
            <w:tcW w:type="dxa" w:w="1224"/>
            <w:tcMar>
              <w:top w:w="80" w:type="dxa"/>
              <w:bottom w:w="80" w:type="dxa"/>
              <w:left w:w="100" w:type="dxa"/>
              <w:right w:w="100" w:type="dxa"/>
            </w:tcMar>
            <w:shd w:fill="FFFFFF"/>
          </w:tcPr>
          <w:p>
            <w:pPr>
              <w:jc w:val="center"/>
            </w:pPr>
            <w:r>
              <w:rPr>
                <w:rFonts w:ascii="Calibri" w:hAnsi="Calibri"/>
                <w:sz w:val="17"/>
              </w:rPr>
              <w:t>FE-4012</w:t>
            </w:r>
          </w:p>
        </w:tc>
        <w:tc>
          <w:tcPr>
            <w:tcW w:type="dxa" w:w="1080"/>
            <w:tcMar>
              <w:top w:w="80" w:type="dxa"/>
              <w:bottom w:w="80" w:type="dxa"/>
              <w:left w:w="100" w:type="dxa"/>
              <w:right w:w="100" w:type="dxa"/>
            </w:tcMar>
            <w:shd w:fill="FFFFFF"/>
          </w:tcPr>
          <w:p>
            <w:pPr>
              <w:jc w:val="center"/>
            </w:pPr>
            <w:r>
              <w:rPr>
                <w:rFonts w:ascii="Calibri" w:hAnsi="Calibri"/>
                <w:sz w:val="17"/>
              </w:rPr>
              <w:t>10/08/26</w:t>
            </w:r>
          </w:p>
        </w:tc>
        <w:tc>
          <w:tcPr>
            <w:tcW w:type="dxa" w:w="792"/>
            <w:tcMar>
              <w:top w:w="80" w:type="dxa"/>
              <w:bottom w:w="80" w:type="dxa"/>
              <w:left w:w="100" w:type="dxa"/>
              <w:right w:w="100" w:type="dxa"/>
            </w:tcMar>
            <w:shd w:fill="FFFFFF"/>
          </w:tcPr>
          <w:p>
            <w:pPr>
              <w:jc w:val="center"/>
            </w:pPr>
            <w:r>
              <w:rPr>
                <w:rFonts w:ascii="Calibri" w:hAnsi="Calibri"/>
                <w:sz w:val="17"/>
              </w:rPr>
              <w:t>AU01</w:t>
            </w:r>
          </w:p>
        </w:tc>
        <w:tc>
          <w:tcPr>
            <w:tcW w:type="dxa" w:w="2664"/>
            <w:tcMar>
              <w:top w:w="80" w:type="dxa"/>
              <w:bottom w:w="80" w:type="dxa"/>
              <w:left w:w="100" w:type="dxa"/>
              <w:right w:w="100" w:type="dxa"/>
            </w:tcMar>
            <w:shd w:fill="FFFFFF"/>
          </w:tcPr>
          <w:p>
            <w:pPr>
              <w:jc w:val="left"/>
            </w:pPr>
            <w:r>
              <w:rPr>
                <w:rFonts w:ascii="Calibri" w:hAnsi="Calibri"/>
                <w:sz w:val="17"/>
              </w:rPr>
              <w:t>Falta autorización urgencias Triage I</w:t>
            </w:r>
          </w:p>
        </w:tc>
        <w:tc>
          <w:tcPr>
            <w:tcW w:type="dxa" w:w="1368"/>
            <w:tcMar>
              <w:top w:w="80" w:type="dxa"/>
              <w:bottom w:w="80" w:type="dxa"/>
              <w:left w:w="100" w:type="dxa"/>
              <w:right w:w="100" w:type="dxa"/>
            </w:tcMar>
            <w:shd w:fill="FFFFFF"/>
          </w:tcPr>
          <w:p>
            <w:pPr>
              <w:jc w:val="right"/>
            </w:pPr>
            <w:r>
              <w:rPr>
                <w:rFonts w:ascii="Calibri" w:hAnsi="Calibri"/>
                <w:sz w:val="17"/>
              </w:rPr>
              <w:t>$16.500.000</w:t>
            </w:r>
          </w:p>
        </w:tc>
        <w:tc>
          <w:tcPr>
            <w:tcW w:type="dxa" w:w="1368"/>
            <w:tcMar>
              <w:top w:w="80" w:type="dxa"/>
              <w:bottom w:w="80" w:type="dxa"/>
              <w:left w:w="100" w:type="dxa"/>
              <w:right w:w="100" w:type="dxa"/>
            </w:tcMar>
            <w:shd w:fill="FFFFFF"/>
          </w:tcPr>
          <w:p>
            <w:pPr>
              <w:jc w:val="right"/>
            </w:pPr>
            <w:r>
              <w:rPr>
                <w:rFonts w:ascii="Calibri" w:hAnsi="Calibri"/>
                <w:sz w:val="17"/>
              </w:rPr>
              <w:t>$16.500.000</w:t>
            </w:r>
          </w:p>
        </w:tc>
        <w:tc>
          <w:tcPr>
            <w:tcW w:type="dxa" w:w="2160"/>
            <w:tcMar>
              <w:top w:w="80" w:type="dxa"/>
              <w:bottom w:w="80" w:type="dxa"/>
              <w:left w:w="100" w:type="dxa"/>
              <w:right w:w="100" w:type="dxa"/>
            </w:tcMar>
            <w:shd w:fill="FFFFFF"/>
          </w:tcPr>
          <w:p>
            <w:pPr>
              <w:jc w:val="left"/>
            </w:pPr>
            <w:r>
              <w:rPr>
                <w:rFonts w:ascii="Calibri" w:hAnsi="Calibri"/>
                <w:sz w:val="17"/>
              </w:rPr>
              <w:t>RE01 · Urgencia Vital &lt; 24h (En término)</w:t>
            </w:r>
          </w:p>
        </w:tc>
      </w:tr>
      <w:tr>
        <w:tc>
          <w:tcPr>
            <w:tcW w:type="dxa" w:w="1224"/>
            <w:tcMar>
              <w:top w:w="80" w:type="dxa"/>
              <w:bottom w:w="80" w:type="dxa"/>
              <w:left w:w="100" w:type="dxa"/>
              <w:right w:w="100" w:type="dxa"/>
            </w:tcMar>
            <w:shd w:fill="F8FAFC"/>
          </w:tcPr>
          <w:p>
            <w:pPr>
              <w:jc w:val="center"/>
            </w:pPr>
            <w:r>
              <w:rPr>
                <w:rFonts w:ascii="Calibri" w:hAnsi="Calibri"/>
                <w:sz w:val="17"/>
              </w:rPr>
              <w:t>FE-4013</w:t>
            </w:r>
          </w:p>
        </w:tc>
        <w:tc>
          <w:tcPr>
            <w:tcW w:type="dxa" w:w="1080"/>
            <w:tcMar>
              <w:top w:w="80" w:type="dxa"/>
              <w:bottom w:w="80" w:type="dxa"/>
              <w:left w:w="100" w:type="dxa"/>
              <w:right w:w="100" w:type="dxa"/>
            </w:tcMar>
            <w:shd w:fill="F8FAFC"/>
          </w:tcPr>
          <w:p>
            <w:pPr>
              <w:jc w:val="center"/>
            </w:pPr>
            <w:r>
              <w:rPr>
                <w:rFonts w:ascii="Calibri" w:hAnsi="Calibri"/>
                <w:sz w:val="17"/>
              </w:rPr>
              <w:t>12/08/26</w:t>
            </w:r>
          </w:p>
        </w:tc>
        <w:tc>
          <w:tcPr>
            <w:tcW w:type="dxa" w:w="792"/>
            <w:tcMar>
              <w:top w:w="80" w:type="dxa"/>
              <w:bottom w:w="80" w:type="dxa"/>
              <w:left w:w="100" w:type="dxa"/>
              <w:right w:w="100" w:type="dxa"/>
            </w:tcMar>
            <w:shd w:fill="F8FAFC"/>
          </w:tcPr>
          <w:p>
            <w:pPr>
              <w:jc w:val="center"/>
            </w:pPr>
            <w:r>
              <w:rPr>
                <w:rFonts w:ascii="Calibri" w:hAnsi="Calibri"/>
                <w:sz w:val="17"/>
              </w:rPr>
              <w:t>SO01</w:t>
            </w:r>
          </w:p>
        </w:tc>
        <w:tc>
          <w:tcPr>
            <w:tcW w:type="dxa" w:w="2664"/>
            <w:tcMar>
              <w:top w:w="80" w:type="dxa"/>
              <w:bottom w:w="80" w:type="dxa"/>
              <w:left w:w="100" w:type="dxa"/>
              <w:right w:w="100" w:type="dxa"/>
            </w:tcMar>
            <w:shd w:fill="F8FAFC"/>
          </w:tcPr>
          <w:p>
            <w:pPr>
              <w:jc w:val="left"/>
            </w:pPr>
            <w:r>
              <w:rPr>
                <w:rFonts w:ascii="Calibri" w:hAnsi="Calibri"/>
                <w:sz w:val="17"/>
              </w:rPr>
              <w:t>Ausencia soporte biopsia e histopatología</w:t>
            </w:r>
          </w:p>
        </w:tc>
        <w:tc>
          <w:tcPr>
            <w:tcW w:type="dxa" w:w="1368"/>
            <w:tcMar>
              <w:top w:w="80" w:type="dxa"/>
              <w:bottom w:w="80" w:type="dxa"/>
              <w:left w:w="100" w:type="dxa"/>
              <w:right w:w="100" w:type="dxa"/>
            </w:tcMar>
            <w:shd w:fill="F8FAFC"/>
          </w:tcPr>
          <w:p>
            <w:pPr>
              <w:jc w:val="right"/>
            </w:pPr>
            <w:r>
              <w:rPr>
                <w:rFonts w:ascii="Calibri" w:hAnsi="Calibri"/>
                <w:sz w:val="17"/>
              </w:rPr>
              <w:t>$3.800.000</w:t>
            </w:r>
          </w:p>
        </w:tc>
        <w:tc>
          <w:tcPr>
            <w:tcW w:type="dxa" w:w="1368"/>
            <w:tcMar>
              <w:top w:w="80" w:type="dxa"/>
              <w:bottom w:w="80" w:type="dxa"/>
              <w:left w:w="100" w:type="dxa"/>
              <w:right w:w="100" w:type="dxa"/>
            </w:tcMar>
            <w:shd w:fill="F8FAFC"/>
          </w:tcPr>
          <w:p>
            <w:pPr>
              <w:jc w:val="right"/>
            </w:pPr>
            <w:r>
              <w:rPr>
                <w:rFonts w:ascii="Calibri" w:hAnsi="Calibri"/>
                <w:sz w:val="17"/>
              </w:rPr>
              <w:t>$3.800.000</w:t>
            </w:r>
          </w:p>
        </w:tc>
        <w:tc>
          <w:tcPr>
            <w:tcW w:type="dxa" w:w="2160"/>
            <w:tcMar>
              <w:top w:w="80" w:type="dxa"/>
              <w:bottom w:w="80" w:type="dxa"/>
              <w:left w:w="100" w:type="dxa"/>
              <w:right w:w="100" w:type="dxa"/>
            </w:tcMar>
            <w:shd w:fill="F8FAFC"/>
          </w:tcPr>
          <w:p>
            <w:pPr>
              <w:jc w:val="left"/>
            </w:pPr>
            <w:r>
              <w:rPr>
                <w:rFonts w:ascii="Calibri" w:hAnsi="Calibri"/>
                <w:sz w:val="17"/>
              </w:rPr>
              <w:t>RE02 · Subsanada CUV RIPS JSON (En término)</w:t>
            </w:r>
          </w:p>
        </w:tc>
      </w:tr>
      <w:tr>
        <w:tc>
          <w:tcPr>
            <w:tcW w:type="dxa" w:w="1224"/>
            <w:tcMar>
              <w:top w:w="80" w:type="dxa"/>
              <w:bottom w:w="80" w:type="dxa"/>
              <w:left w:w="100" w:type="dxa"/>
              <w:right w:w="100" w:type="dxa"/>
            </w:tcMar>
            <w:shd w:fill="FFFFFF"/>
          </w:tcPr>
          <w:p>
            <w:pPr>
              <w:jc w:val="center"/>
            </w:pPr>
            <w:r>
              <w:rPr>
                <w:rFonts w:ascii="Calibri" w:hAnsi="Calibri"/>
                <w:sz w:val="17"/>
              </w:rPr>
              <w:t>FE-4014</w:t>
            </w:r>
          </w:p>
        </w:tc>
        <w:tc>
          <w:tcPr>
            <w:tcW w:type="dxa" w:w="1080"/>
            <w:tcMar>
              <w:top w:w="80" w:type="dxa"/>
              <w:bottom w:w="80" w:type="dxa"/>
              <w:left w:w="100" w:type="dxa"/>
              <w:right w:w="100" w:type="dxa"/>
            </w:tcMar>
            <w:shd w:fill="FFFFFF"/>
          </w:tcPr>
          <w:p>
            <w:pPr>
              <w:jc w:val="center"/>
            </w:pPr>
            <w:r>
              <w:rPr>
                <w:rFonts w:ascii="Calibri" w:hAnsi="Calibri"/>
                <w:sz w:val="17"/>
              </w:rPr>
              <w:t>11/08/26</w:t>
            </w:r>
          </w:p>
        </w:tc>
        <w:tc>
          <w:tcPr>
            <w:tcW w:type="dxa" w:w="792"/>
            <w:tcMar>
              <w:top w:w="80" w:type="dxa"/>
              <w:bottom w:w="80" w:type="dxa"/>
              <w:left w:w="100" w:type="dxa"/>
              <w:right w:w="100" w:type="dxa"/>
            </w:tcMar>
            <w:shd w:fill="FFFFFF"/>
          </w:tcPr>
          <w:p>
            <w:pPr>
              <w:jc w:val="center"/>
            </w:pPr>
            <w:r>
              <w:rPr>
                <w:rFonts w:ascii="Calibri" w:hAnsi="Calibri"/>
                <w:sz w:val="17"/>
              </w:rPr>
              <w:t>CL01</w:t>
            </w:r>
          </w:p>
        </w:tc>
        <w:tc>
          <w:tcPr>
            <w:tcW w:type="dxa" w:w="2664"/>
            <w:tcMar>
              <w:top w:w="80" w:type="dxa"/>
              <w:bottom w:w="80" w:type="dxa"/>
              <w:left w:w="100" w:type="dxa"/>
              <w:right w:w="100" w:type="dxa"/>
            </w:tcMar>
            <w:shd w:fill="FFFFFF"/>
          </w:tcPr>
          <w:p>
            <w:pPr>
              <w:jc w:val="left"/>
            </w:pPr>
            <w:r>
              <w:rPr>
                <w:rFonts w:ascii="Calibri" w:hAnsi="Calibri"/>
                <w:sz w:val="17"/>
              </w:rPr>
              <w:t>Objeción pertinencia estancia UCI</w:t>
            </w:r>
          </w:p>
        </w:tc>
        <w:tc>
          <w:tcPr>
            <w:tcW w:type="dxa" w:w="1368"/>
            <w:tcMar>
              <w:top w:w="80" w:type="dxa"/>
              <w:bottom w:w="80" w:type="dxa"/>
              <w:left w:w="100" w:type="dxa"/>
              <w:right w:w="100" w:type="dxa"/>
            </w:tcMar>
            <w:shd w:fill="FFFFFF"/>
          </w:tcPr>
          <w:p>
            <w:pPr>
              <w:jc w:val="right"/>
            </w:pPr>
            <w:r>
              <w:rPr>
                <w:rFonts w:ascii="Calibri" w:hAnsi="Calibri"/>
                <w:sz w:val="17"/>
              </w:rPr>
              <w:t>$12.400.000</w:t>
            </w:r>
          </w:p>
        </w:tc>
        <w:tc>
          <w:tcPr>
            <w:tcW w:type="dxa" w:w="1368"/>
            <w:tcMar>
              <w:top w:w="80" w:type="dxa"/>
              <w:bottom w:w="80" w:type="dxa"/>
              <w:left w:w="100" w:type="dxa"/>
              <w:right w:w="100" w:type="dxa"/>
            </w:tcMar>
            <w:shd w:fill="FFFFFF"/>
          </w:tcPr>
          <w:p>
            <w:pPr>
              <w:jc w:val="right"/>
            </w:pPr>
            <w:r>
              <w:rPr>
                <w:rFonts w:ascii="Calibri" w:hAnsi="Calibri"/>
                <w:sz w:val="17"/>
              </w:rPr>
              <w:t>$12.400.000</w:t>
            </w:r>
          </w:p>
        </w:tc>
        <w:tc>
          <w:tcPr>
            <w:tcW w:type="dxa" w:w="2160"/>
            <w:tcMar>
              <w:top w:w="80" w:type="dxa"/>
              <w:bottom w:w="80" w:type="dxa"/>
              <w:left w:w="100" w:type="dxa"/>
              <w:right w:w="100" w:type="dxa"/>
            </w:tcMar>
            <w:shd w:fill="FFFFFF"/>
          </w:tcPr>
          <w:p>
            <w:pPr>
              <w:jc w:val="left"/>
            </w:pPr>
            <w:r>
              <w:rPr>
                <w:rFonts w:ascii="Calibri" w:hAnsi="Calibri"/>
                <w:sz w:val="17"/>
              </w:rPr>
              <w:t>RE01 · Autonomía / APACHE II + Notas (En término)</w:t>
            </w:r>
          </w:p>
        </w:tc>
      </w:tr>
      <w:tr>
        <w:tc>
          <w:tcPr>
            <w:tcW w:type="dxa" w:w="1224"/>
            <w:tcMar>
              <w:top w:w="80" w:type="dxa"/>
              <w:bottom w:w="80" w:type="dxa"/>
              <w:left w:w="100" w:type="dxa"/>
              <w:right w:w="100" w:type="dxa"/>
            </w:tcMar>
            <w:shd w:fill="F8FAFC"/>
          </w:tcPr>
          <w:p>
            <w:pPr>
              <w:jc w:val="center"/>
            </w:pPr>
            <w:r>
              <w:rPr>
                <w:rFonts w:ascii="Calibri" w:hAnsi="Calibri"/>
                <w:sz w:val="17"/>
              </w:rPr>
              <w:t>FE-4015</w:t>
            </w:r>
          </w:p>
        </w:tc>
        <w:tc>
          <w:tcPr>
            <w:tcW w:type="dxa" w:w="1080"/>
            <w:tcMar>
              <w:top w:w="80" w:type="dxa"/>
              <w:bottom w:w="80" w:type="dxa"/>
              <w:left w:w="100" w:type="dxa"/>
              <w:right w:w="100" w:type="dxa"/>
            </w:tcMar>
            <w:shd w:fill="F8FAFC"/>
          </w:tcPr>
          <w:p>
            <w:pPr>
              <w:jc w:val="center"/>
            </w:pPr>
            <w:r>
              <w:rPr>
                <w:rFonts w:ascii="Calibri" w:hAnsi="Calibri"/>
                <w:sz w:val="17"/>
              </w:rPr>
              <w:t>18/08/26</w:t>
            </w:r>
          </w:p>
        </w:tc>
        <w:tc>
          <w:tcPr>
            <w:tcW w:type="dxa" w:w="792"/>
            <w:tcMar>
              <w:top w:w="80" w:type="dxa"/>
              <w:bottom w:w="80" w:type="dxa"/>
              <w:left w:w="100" w:type="dxa"/>
              <w:right w:w="100" w:type="dxa"/>
            </w:tcMar>
            <w:shd w:fill="F8FAFC"/>
          </w:tcPr>
          <w:p>
            <w:pPr>
              <w:jc w:val="center"/>
            </w:pPr>
            <w:r>
              <w:rPr>
                <w:rFonts w:ascii="Calibri" w:hAnsi="Calibri"/>
                <w:sz w:val="17"/>
              </w:rPr>
              <w:t>CO01</w:t>
            </w:r>
          </w:p>
        </w:tc>
        <w:tc>
          <w:tcPr>
            <w:tcW w:type="dxa" w:w="2664"/>
            <w:tcMar>
              <w:top w:w="80" w:type="dxa"/>
              <w:bottom w:w="80" w:type="dxa"/>
              <w:left w:w="100" w:type="dxa"/>
              <w:right w:w="100" w:type="dxa"/>
            </w:tcMar>
            <w:shd w:fill="F8FAFC"/>
          </w:tcPr>
          <w:p>
            <w:pPr>
              <w:jc w:val="left"/>
            </w:pPr>
            <w:r>
              <w:rPr>
                <w:rFonts w:ascii="Calibri" w:hAnsi="Calibri"/>
                <w:sz w:val="17"/>
              </w:rPr>
              <w:t>Medicamento No PBS sin MIPRES</w:t>
            </w:r>
          </w:p>
        </w:tc>
        <w:tc>
          <w:tcPr>
            <w:tcW w:type="dxa" w:w="1368"/>
            <w:tcMar>
              <w:top w:w="80" w:type="dxa"/>
              <w:bottom w:w="80" w:type="dxa"/>
              <w:left w:w="100" w:type="dxa"/>
              <w:right w:w="100" w:type="dxa"/>
            </w:tcMar>
            <w:shd w:fill="F8FAFC"/>
          </w:tcPr>
          <w:p>
            <w:pPr>
              <w:jc w:val="right"/>
            </w:pPr>
            <w:r>
              <w:rPr>
                <w:rFonts w:ascii="Calibri" w:hAnsi="Calibri"/>
                <w:sz w:val="17"/>
              </w:rPr>
              <w:t>$5.600.000</w:t>
            </w:r>
          </w:p>
        </w:tc>
        <w:tc>
          <w:tcPr>
            <w:tcW w:type="dxa" w:w="1368"/>
            <w:tcMar>
              <w:top w:w="80" w:type="dxa"/>
              <w:bottom w:w="80" w:type="dxa"/>
              <w:left w:w="100" w:type="dxa"/>
              <w:right w:w="100" w:type="dxa"/>
            </w:tcMar>
            <w:shd w:fill="F8FAFC"/>
          </w:tcPr>
          <w:p>
            <w:pPr>
              <w:jc w:val="right"/>
            </w:pPr>
            <w:r>
              <w:rPr>
                <w:rFonts w:ascii="Calibri" w:hAnsi="Calibri"/>
                <w:sz w:val="17"/>
              </w:rPr>
              <w:t>$5.600.000</w:t>
            </w:r>
          </w:p>
        </w:tc>
        <w:tc>
          <w:tcPr>
            <w:tcW w:type="dxa" w:w="2160"/>
            <w:tcMar>
              <w:top w:w="80" w:type="dxa"/>
              <w:bottom w:w="80" w:type="dxa"/>
              <w:left w:w="100" w:type="dxa"/>
              <w:right w:w="100" w:type="dxa"/>
            </w:tcMar>
            <w:shd w:fill="F8FAFC"/>
          </w:tcPr>
          <w:p>
            <w:pPr>
              <w:jc w:val="left"/>
            </w:pPr>
            <w:r>
              <w:rPr>
                <w:rFonts w:ascii="Calibri" w:hAnsi="Calibri"/>
                <w:sz w:val="17"/>
              </w:rPr>
              <w:t>RE01 · MIPRES + Kardex Biológico (En término)</w:t>
            </w:r>
          </w:p>
        </w:tc>
      </w:tr>
      <w:tr>
        <w:tc>
          <w:tcPr>
            <w:tcW w:type="dxa" w:w="1224"/>
            <w:tcMar>
              <w:top w:w="80" w:type="dxa"/>
              <w:bottom w:w="80" w:type="dxa"/>
              <w:left w:w="100" w:type="dxa"/>
              <w:right w:w="100" w:type="dxa"/>
            </w:tcMar>
            <w:shd w:fill="FFFFFF"/>
          </w:tcPr>
          <w:p>
            <w:pPr>
              <w:jc w:val="center"/>
            </w:pPr>
            <w:r>
              <w:rPr>
                <w:rFonts w:ascii="Calibri" w:hAnsi="Calibri"/>
                <w:sz w:val="17"/>
              </w:rPr>
              <w:t>FE-4016</w:t>
            </w:r>
          </w:p>
        </w:tc>
        <w:tc>
          <w:tcPr>
            <w:tcW w:type="dxa" w:w="1080"/>
            <w:tcMar>
              <w:top w:w="80" w:type="dxa"/>
              <w:bottom w:w="80" w:type="dxa"/>
              <w:left w:w="100" w:type="dxa"/>
              <w:right w:w="100" w:type="dxa"/>
            </w:tcMar>
            <w:shd w:fill="FFFFFF"/>
          </w:tcPr>
          <w:p>
            <w:pPr>
              <w:jc w:val="center"/>
            </w:pPr>
            <w:r>
              <w:rPr>
                <w:rFonts w:ascii="Calibri" w:hAnsi="Calibri"/>
                <w:sz w:val="17"/>
              </w:rPr>
              <w:t>20/08/26</w:t>
            </w:r>
          </w:p>
        </w:tc>
        <w:tc>
          <w:tcPr>
            <w:tcW w:type="dxa" w:w="792"/>
            <w:tcMar>
              <w:top w:w="80" w:type="dxa"/>
              <w:bottom w:w="80" w:type="dxa"/>
              <w:left w:w="100" w:type="dxa"/>
              <w:right w:w="100" w:type="dxa"/>
            </w:tcMar>
            <w:shd w:fill="FFFFFF"/>
          </w:tcPr>
          <w:p>
            <w:pPr>
              <w:jc w:val="center"/>
            </w:pPr>
            <w:r>
              <w:rPr>
                <w:rFonts w:ascii="Calibri" w:hAnsi="Calibri"/>
                <w:sz w:val="17"/>
              </w:rPr>
              <w:t>FA20</w:t>
            </w:r>
          </w:p>
        </w:tc>
        <w:tc>
          <w:tcPr>
            <w:tcW w:type="dxa" w:w="2664"/>
            <w:tcMar>
              <w:top w:w="80" w:type="dxa"/>
              <w:bottom w:w="80" w:type="dxa"/>
              <w:left w:w="100" w:type="dxa"/>
              <w:right w:w="100" w:type="dxa"/>
            </w:tcMar>
            <w:shd w:fill="FFFFFF"/>
          </w:tcPr>
          <w:p>
            <w:pPr>
              <w:jc w:val="left"/>
            </w:pPr>
            <w:r>
              <w:rPr>
                <w:rFonts w:ascii="Calibri" w:hAnsi="Calibri"/>
                <w:sz w:val="17"/>
              </w:rPr>
              <w:t>Omisión descuento copago usuario</w:t>
            </w:r>
          </w:p>
        </w:tc>
        <w:tc>
          <w:tcPr>
            <w:tcW w:type="dxa" w:w="1368"/>
            <w:tcMar>
              <w:top w:w="80" w:type="dxa"/>
              <w:bottom w:w="80" w:type="dxa"/>
              <w:left w:w="100" w:type="dxa"/>
              <w:right w:w="100" w:type="dxa"/>
            </w:tcMar>
            <w:shd w:fill="FFFFFF"/>
          </w:tcPr>
          <w:p>
            <w:pPr>
              <w:jc w:val="right"/>
            </w:pPr>
            <w:r>
              <w:rPr>
                <w:rFonts w:ascii="Calibri" w:hAnsi="Calibri"/>
                <w:sz w:val="17"/>
              </w:rPr>
              <w:t>$2.500.000</w:t>
            </w:r>
          </w:p>
        </w:tc>
        <w:tc>
          <w:tcPr>
            <w:tcW w:type="dxa" w:w="1368"/>
            <w:tcMar>
              <w:top w:w="80" w:type="dxa"/>
              <w:bottom w:w="80" w:type="dxa"/>
              <w:left w:w="100" w:type="dxa"/>
              <w:right w:w="100" w:type="dxa"/>
            </w:tcMar>
            <w:shd w:fill="FFFFFF"/>
          </w:tcPr>
          <w:p>
            <w:pPr>
              <w:jc w:val="right"/>
            </w:pPr>
            <w:r>
              <w:rPr>
                <w:rFonts w:ascii="Calibri" w:hAnsi="Calibri"/>
                <w:sz w:val="17"/>
              </w:rPr>
              <w:t>$0</w:t>
            </w:r>
          </w:p>
        </w:tc>
        <w:tc>
          <w:tcPr>
            <w:tcW w:type="dxa" w:w="2160"/>
            <w:tcMar>
              <w:top w:w="80" w:type="dxa"/>
              <w:bottom w:w="80" w:type="dxa"/>
              <w:left w:w="100" w:type="dxa"/>
              <w:right w:w="100" w:type="dxa"/>
            </w:tcMar>
            <w:shd w:fill="FFFFFF"/>
          </w:tcPr>
          <w:p>
            <w:pPr>
              <w:jc w:val="left"/>
            </w:pPr>
            <w:r>
              <w:rPr>
                <w:rFonts w:ascii="Calibri" w:hAnsi="Calibri"/>
                <w:sz w:val="17"/>
              </w:rPr>
              <w:t>RE9701 · Aceptada Nota Crédito DIAN</w:t>
            </w:r>
          </w:p>
        </w:tc>
      </w:tr>
      <w:tr>
        <w:tc>
          <w:tcPr>
            <w:tcW w:type="dxa" w:w="1224"/>
            <w:tcMar>
              <w:top w:w="80" w:type="dxa"/>
              <w:bottom w:w="80" w:type="dxa"/>
              <w:left w:w="100" w:type="dxa"/>
              <w:right w:w="100" w:type="dxa"/>
            </w:tcMar>
            <w:shd w:fill="ECFDF5"/>
          </w:tcPr>
          <w:p>
            <w:pPr>
              <w:jc w:val="center"/>
            </w:pPr>
            <w:r>
              <w:rPr>
                <w:rFonts w:ascii="Calibri" w:hAnsi="Calibri"/>
                <w:b/>
                <w:color w:val="065F46"/>
                <w:sz w:val="17"/>
              </w:rPr>
              <w:t>TOTALES</w:t>
            </w:r>
          </w:p>
        </w:tc>
        <w:tc>
          <w:tcPr>
            <w:tcW w:type="dxa" w:w="1080"/>
            <w:tcMar>
              <w:top w:w="80" w:type="dxa"/>
              <w:bottom w:w="80" w:type="dxa"/>
              <w:left w:w="100" w:type="dxa"/>
              <w:right w:w="100" w:type="dxa"/>
            </w:tcMar>
            <w:shd w:fill="ECFDF5"/>
          </w:tcPr>
          <w:p>
            <w:pPr>
              <w:jc w:val="center"/>
            </w:pPr>
            <w:r>
              <w:rPr>
                <w:rFonts w:ascii="Calibri" w:hAnsi="Calibri"/>
                <w:b/>
                <w:color w:val="065F46"/>
                <w:sz w:val="17"/>
              </w:rPr>
              <w:t>-</w:t>
            </w:r>
          </w:p>
        </w:tc>
        <w:tc>
          <w:tcPr>
            <w:tcW w:type="dxa" w:w="792"/>
            <w:tcMar>
              <w:top w:w="80" w:type="dxa"/>
              <w:bottom w:w="80" w:type="dxa"/>
              <w:left w:w="100" w:type="dxa"/>
              <w:right w:w="100" w:type="dxa"/>
            </w:tcMar>
            <w:shd w:fill="ECFDF5"/>
          </w:tcPr>
          <w:p>
            <w:pPr>
              <w:jc w:val="center"/>
            </w:pPr>
            <w:r>
              <w:rPr>
                <w:rFonts w:ascii="Calibri" w:hAnsi="Calibri"/>
                <w:b/>
                <w:color w:val="065F46"/>
                <w:sz w:val="17"/>
              </w:rPr>
              <w:t>-</w:t>
            </w:r>
          </w:p>
        </w:tc>
        <w:tc>
          <w:tcPr>
            <w:tcW w:type="dxa" w:w="2664"/>
            <w:tcMar>
              <w:top w:w="80" w:type="dxa"/>
              <w:bottom w:w="80" w:type="dxa"/>
              <w:left w:w="100" w:type="dxa"/>
              <w:right w:w="100" w:type="dxa"/>
            </w:tcMar>
            <w:shd w:fill="ECFDF5"/>
          </w:tcPr>
          <w:p>
            <w:pPr>
              <w:jc w:val="left"/>
            </w:pPr>
            <w:r>
              <w:rPr>
                <w:rFonts w:ascii="Calibri" w:hAnsi="Calibri"/>
                <w:b/>
                <w:color w:val="065F46"/>
                <w:sz w:val="17"/>
              </w:rPr>
              <w:t>TOTALES PERICIALES AUDITADOS</w:t>
            </w:r>
          </w:p>
        </w:tc>
        <w:tc>
          <w:tcPr>
            <w:tcW w:type="dxa" w:w="1368"/>
            <w:tcMar>
              <w:top w:w="80" w:type="dxa"/>
              <w:bottom w:w="80" w:type="dxa"/>
              <w:left w:w="100" w:type="dxa"/>
              <w:right w:w="100" w:type="dxa"/>
            </w:tcMar>
            <w:shd w:fill="ECFDF5"/>
          </w:tcPr>
          <w:p>
            <w:pPr>
              <w:jc w:val="right"/>
            </w:pPr>
            <w:r>
              <w:rPr>
                <w:rFonts w:ascii="Calibri" w:hAnsi="Calibri"/>
                <w:b/>
                <w:color w:val="065F46"/>
                <w:sz w:val="17"/>
              </w:rPr>
              <w:t>$45.000.000</w:t>
            </w:r>
          </w:p>
        </w:tc>
        <w:tc>
          <w:tcPr>
            <w:tcW w:type="dxa" w:w="1368"/>
            <w:tcMar>
              <w:top w:w="80" w:type="dxa"/>
              <w:bottom w:w="80" w:type="dxa"/>
              <w:left w:w="100" w:type="dxa"/>
              <w:right w:w="100" w:type="dxa"/>
            </w:tcMar>
            <w:shd w:fill="ECFDF5"/>
          </w:tcPr>
          <w:p>
            <w:pPr>
              <w:jc w:val="right"/>
            </w:pPr>
            <w:r>
              <w:rPr>
                <w:rFonts w:ascii="Calibri" w:hAnsi="Calibri"/>
                <w:b/>
                <w:color w:val="065F46"/>
                <w:sz w:val="17"/>
              </w:rPr>
              <w:t>$42.500.000</w:t>
            </w:r>
          </w:p>
        </w:tc>
        <w:tc>
          <w:tcPr>
            <w:tcW w:type="dxa" w:w="2160"/>
            <w:tcMar>
              <w:top w:w="80" w:type="dxa"/>
              <w:bottom w:w="80" w:type="dxa"/>
              <w:left w:w="100" w:type="dxa"/>
              <w:right w:w="100" w:type="dxa"/>
            </w:tcMar>
            <w:shd w:fill="ECFDF5"/>
          </w:tcPr>
          <w:p>
            <w:pPr>
              <w:jc w:val="left"/>
            </w:pPr>
            <w:r>
              <w:rPr>
                <w:rFonts w:ascii="Calibri" w:hAnsi="Calibri"/>
                <w:b/>
                <w:color w:val="065F46"/>
                <w:sz w:val="17"/>
              </w:rPr>
              <w:t>Recuperabilidad: 94.44%</w:t>
            </w:r>
          </w:p>
        </w:tc>
      </w:tr>
    </w:tbl>
    <w:p/>
    <w:p>
      <w:r>
        <w:rPr>
          <w:rFonts w:ascii="Calibri" w:hAnsi="Calibri"/>
          <w:b/>
          <w:color w:val="0F172A"/>
          <w:sz w:val="22"/>
        </w:rPr>
        <w:t>III. SUSTENTO TÉCNICO-LEGAL Y JURISPRUDENCIAL DE LA OBJECIÓN</w:t>
        <w:br/>
      </w:r>
    </w:p>
    <w:p>
      <w:pPr>
        <w:spacing w:line="276" w:lineRule="auto"/>
        <w:jc w:val="both"/>
      </w:pPr>
      <w:r>
        <w:rPr>
          <w:rFonts w:ascii="Calibri" w:hAnsi="Calibri"/>
          <w:b/>
          <w:color w:val="0F172A"/>
          <w:sz w:val="20"/>
        </w:rPr>
        <w:t>1. Extemporaneidad Insubsanable de Glosas y Firmeza del Cargo (Ley 1438/2011 Art. 57 y Res. 2284/2023 Art. 6 - Código RE9502):</w:t>
        <w:br/>
      </w:r>
      <w:r>
        <w:rPr>
          <w:rFonts w:ascii="Calibri" w:hAnsi="Calibri"/>
          <w:sz w:val="19"/>
        </w:rPr>
        <w:t>La Ley 1438 de 2011 y la Resolución 2284 de 2023 consagran de manera taxativa y perentoria que la entidad responsable del pago cuenta con un plazo improrrogable de veinte (20) días hábiles siguientes a la presentación formal de la factura para formular glosas. En el caso de la Factura FE-4011, radicada el lunes 03/08/2026 y notificada en glosa el miércoles 09/09/2026, transcurrieron veinticinco (25) días hábiles reales (descontando sábados, domingos y los festivos del 7 y 17 de agosto, Ley 51/1983). El término legal venció fatalmente el 02/09/2026. Por mandato expreso del ordenamiento jurídico, operó la preclusión de la facultad de glosar y la inoponibilidad sobrevenida de la glosa TA02, aplicando el código de respuesta oficial RE9502 (aceptación tácita de la factura). El valor de $4.200.000 COP es plenamente exigible de forma inmediata sin necesidad de debate sobre la tarifa o sala liquidada.</w:t>
      </w:r>
    </w:p>
    <w:p>
      <w:pPr>
        <w:spacing w:line="276" w:lineRule="auto"/>
        <w:jc w:val="both"/>
      </w:pPr>
      <w:r>
        <w:rPr>
          <w:rFonts w:ascii="Calibri" w:hAnsi="Calibri"/>
          <w:b/>
          <w:color w:val="0F172A"/>
          <w:sz w:val="20"/>
        </w:rPr>
        <w:t>2. Prohibición de Glosar Atenciones de Urgencia Vital (Decreto 441 de 2022, Art. 13 y Ley 1751 de 2015, Art. 14):</w:t>
        <w:br/>
      </w:r>
      <w:r>
        <w:rPr>
          <w:rFonts w:ascii="Calibri" w:hAnsi="Calibri"/>
          <w:sz w:val="19"/>
        </w:rPr>
        <w:t>El ordenamiento prohíbe de manera absoluta supeditar la atención inicial de urgencias a la expedición de autorizaciones previas. En la Factura FE-4012, el paciente ingresó bajo Triage Nivel I con riesgo vital. Conforme al Art. 13 del Decreto 441 de 2022, el informe de urgencias dentro de las 24 horas siguientes cumple plenamente el estándar legal. La glosa formulada bajo el código AU01 carece de todo fundamento jurídico. Se aporta Hoja de Triage I, descripción quirúrgica y constancia de radicación oportuna dentro de los 15 días hábiles legales (vencimiento: 18/09/2026).</w:t>
      </w:r>
    </w:p>
    <w:p>
      <w:pPr>
        <w:spacing w:line="276" w:lineRule="auto"/>
        <w:jc w:val="both"/>
      </w:pPr>
      <w:r>
        <w:rPr>
          <w:rFonts w:ascii="Calibri" w:hAnsi="Calibri"/>
          <w:b/>
          <w:color w:val="0F172A"/>
          <w:sz w:val="20"/>
        </w:rPr>
        <w:t>3. Blindaje Constitucional a la Autonomía Médica y Lex Artis (Ley Estatutaria 1751 de 2015, Art. 17):</w:t>
        <w:br/>
      </w:r>
      <w:r>
        <w:rPr>
          <w:rFonts w:ascii="Calibri" w:hAnsi="Calibri"/>
          <w:sz w:val="19"/>
        </w:rPr>
        <w:t>La Ley Estatutaria de Salud garantiza la autonomía de los profesionales de la salud para adoptar decisiones diagnósticas y terapéuticas. Respecto de la Factura FE-4014 (código CL01), los días de estancia en UCI intermedia fueron prescritos por el médico intensivista amparado en el Score APACHE II de 18 puntos (mortalidad predicha 29%, monitorización hemodinámica invasiva y soporte vasopresor continuo), respaldado en las notas diarias de evolución clínica. La ERP carece de atribución para sustituir retrospectivamente el juicio clínico del especialista. Respuesta radicada dentro del término de 15 d.h. (vencimiento: 15/09/2026).</w:t>
      </w:r>
    </w:p>
    <w:p>
      <w:pPr>
        <w:spacing w:line="276" w:lineRule="auto"/>
        <w:jc w:val="both"/>
      </w:pPr>
      <w:r>
        <w:rPr>
          <w:rFonts w:ascii="Calibri" w:hAnsi="Calibri"/>
          <w:b/>
          <w:color w:val="0F172A"/>
          <w:sz w:val="20"/>
        </w:rPr>
        <w:t>4. Subsanación Documental Plena en Biopsia Quirúrgica y Validación RIPS (Resolución 2284/2023 y Res. 2275/2023):</w:t>
        <w:br/>
      </w:r>
      <w:r>
        <w:rPr>
          <w:rFonts w:ascii="Calibri" w:hAnsi="Calibri"/>
          <w:sz w:val="19"/>
        </w:rPr>
        <w:t>Bajo el código de respuesta oficial RE02 para la glosa SO01, mi representada subsana integralmente los requerimientos de la Factura FE-4013, adjuntando informe anatomopatológico certificado digitalmente bajo Ley 527 de 1999 para el procedimiento de biopsia quirúrgica (CUPS 898001) y el Código Único de Validación (CUV) expedido por la plataforma del Ministerio de Salud, completando el acervo probatorio del Anexo Técnico 1. Respuesta radicada oportunamente dentro de los 15 d.h. (vencimiento: 15/09/2026).</w:t>
      </w:r>
    </w:p>
    <w:p>
      <w:pPr>
        <w:spacing w:line="276" w:lineRule="auto"/>
        <w:jc w:val="both"/>
      </w:pPr>
      <w:r>
        <w:rPr>
          <w:rFonts w:ascii="Calibri" w:hAnsi="Calibri"/>
          <w:b/>
          <w:color w:val="0F172A"/>
          <w:sz w:val="20"/>
        </w:rPr>
        <w:t>5. Prescripción MIPRES Acreditada y Administrada (Resolución 1885 de 2018 y Sentencia T-760 de 2008):</w:t>
        <w:br/>
      </w:r>
      <w:r>
        <w:rPr>
          <w:rFonts w:ascii="Calibri" w:hAnsi="Calibri"/>
          <w:sz w:val="19"/>
        </w:rPr>
        <w:t>Frente a la glosa CO01 sobre la Factura FE-4015 ($5.600.000 COP), se demuestra la expedición oportuna de la fórmula en la plataforma MIPRES bajo Radicado No. 20260818104011234567 por médico especialista en reumatología para terapia biológica (CUPS 990201), adjuntando la constancia de dispensación y registro de administración en Kardex de enfermería, cumpliendo la línea vinculante de la Corte Constitucional. Respuesta radicada dentro del término de 15 d.h. (vencimiento: 21/09/2026).</w:t>
      </w:r>
    </w:p>
    <w:p>
      <w:pPr>
        <w:spacing w:line="276" w:lineRule="auto"/>
        <w:jc w:val="both"/>
      </w:pPr>
      <w:r>
        <w:rPr>
          <w:rFonts w:ascii="Calibri" w:hAnsi="Calibri"/>
          <w:b/>
          <w:color w:val="0F172A"/>
          <w:sz w:val="20"/>
        </w:rPr>
        <w:t>6. Aceptación Total por Cobro Directo en Caja (Resolución 2284 de 2023 - Código RE9701):</w:t>
        <w:br/>
      </w:r>
      <w:r>
        <w:rPr>
          <w:rFonts w:ascii="Calibri" w:hAnsi="Calibri"/>
          <w:sz w:val="19"/>
        </w:rPr>
        <w:t>En relación con la Factura FE-4016 (código FA20), la IPS acepta formalmente la glosa por valor de $2.500.000 COP al haberse verificado el recaudo del copago directamente en ventanilla. En cumplimiento del Anexo Técnico 3, se emite la correspondiente Nota Crédito electrónica NC-FE4016 ante la DIAN bajo el código oficial RE9701, declarando un saldo en disputa de CERO PESOS ($0.00 COP) para este ítem.</w:t>
      </w:r>
    </w:p>
    <w:p>
      <w:r>
        <w:rPr>
          <w:rFonts w:ascii="Calibri" w:hAnsi="Calibri"/>
          <w:b/>
          <w:color w:val="0F172A"/>
          <w:sz w:val="22"/>
        </w:rPr>
        <w:t>IV. PETICIONES DETERMINISTAS</w:t>
        <w:br/>
      </w:r>
    </w:p>
    <w:p>
      <w:pPr>
        <w:spacing w:line="276" w:lineRule="auto"/>
        <w:ind w:left="288"/>
      </w:pPr>
      <w:r>
        <w:rPr>
          <w:rFonts w:ascii="Calibri" w:hAnsi="Calibri"/>
          <w:sz w:val="19"/>
        </w:rPr>
        <w:t>• PRIMERA: Declarar la EXTINCIÓN DE PLENO DERECHO de la glosa TA02 sobre la Factura FE-4011 por valor de $4.200.000 COP en razón a su notificación extemporánea a los 25 días hábiles, ordenando el giro inmediato de dicho valor a favor de la IPS sin descuento alguno.</w:t>
      </w:r>
    </w:p>
    <w:p>
      <w:pPr>
        <w:spacing w:line="276" w:lineRule="auto"/>
        <w:ind w:left="288"/>
      </w:pPr>
      <w:r>
        <w:rPr>
          <w:rFonts w:ascii="Calibri" w:hAnsi="Calibri"/>
          <w:sz w:val="19"/>
        </w:rPr>
        <w:t>• SEGUNDA: Declarar el LEVANTAMIENTO TOTAL E INMEDIATO de las glosas formuladas sobre las Facturas FE-4012 ($16.500.000 COP), FE-4013 ($3.800.000 COP), FE-4014 ($12.400.000 COP) y FE-4015 ($5.600.000 COP), al encontrarse técnica y jurídicamente desvirtuadas con apego a la Lex Artis y los soportes allegados.</w:t>
      </w:r>
    </w:p>
    <w:p>
      <w:pPr>
        <w:spacing w:line="276" w:lineRule="auto"/>
        <w:ind w:left="288"/>
      </w:pPr>
      <w:r>
        <w:rPr>
          <w:rFonts w:ascii="Calibri" w:hAnsi="Calibri"/>
          <w:sz w:val="19"/>
        </w:rPr>
        <w:t>• TERCERA: ACEPTAR la Nota Crédito electrónica NC-FE4016 por valor de $2.500.000 COP correspondiente a la Factura FE-4016 por concepto de copago recaudado.</w:t>
      </w:r>
    </w:p>
    <w:p>
      <w:pPr>
        <w:spacing w:line="276" w:lineRule="auto"/>
        <w:ind w:left="288"/>
      </w:pPr>
      <w:r>
        <w:rPr>
          <w:rFonts w:ascii="Calibri" w:hAnsi="Calibri"/>
          <w:sz w:val="19"/>
        </w:rPr>
        <w:t>• CUARTA: Reconocer un saldo líquido total a pagar a favor de mi mandante por valor de CUARENTA Y DOS MILLONES QUINIENTOS MIL PESOS M/CTE ($42.500.000 COP), procediendo a su desembolso dentro del término legal de cinco (5) días hábiles (Art. 57 Ley 1438/2011).</w:t>
      </w:r>
    </w:p>
    <w:p>
      <w:r>
        <w:rPr>
          <w:rFonts w:ascii="Calibri" w:hAnsi="Calibri"/>
          <w:b/>
          <w:color w:val="0F172A"/>
          <w:sz w:val="22"/>
        </w:rPr>
        <w:t>V. ANEXOS PROBATORIOS DETERMINISTAS</w:t>
        <w:br/>
      </w:r>
    </w:p>
    <w:p>
      <w:pPr>
        <w:spacing w:line="264" w:lineRule="auto"/>
        <w:ind w:left="288"/>
      </w:pPr>
      <w:r>
        <w:rPr>
          <w:rFonts w:ascii="Calibri" w:hAnsi="Calibri"/>
          <w:sz w:val="18"/>
        </w:rPr>
        <w:t>• 1. Hoja de Cálculo Pericial de Glosas Res. 2284 con Fórmulas Vivas y Sello SHA-256 ('matriz_glosas_res2284.xlsx').</w:t>
      </w:r>
    </w:p>
    <w:p>
      <w:pPr>
        <w:spacing w:line="264" w:lineRule="auto"/>
        <w:ind w:left="288"/>
      </w:pPr>
      <w:r>
        <w:rPr>
          <w:rFonts w:ascii="Calibri" w:hAnsi="Calibri"/>
          <w:sz w:val="18"/>
        </w:rPr>
        <w:t>• 2. Acuse Electrónico de Radicación FEV + CUV expedido por la DIAN y MinSalud para la Factura FE-4011.</w:t>
      </w:r>
    </w:p>
    <w:p>
      <w:pPr>
        <w:spacing w:line="264" w:lineRule="auto"/>
        <w:ind w:left="288"/>
      </w:pPr>
      <w:r>
        <w:rPr>
          <w:rFonts w:ascii="Calibri" w:hAnsi="Calibri"/>
          <w:sz w:val="18"/>
        </w:rPr>
        <w:t>• 3. Hoja de Triage Nivel I, Protocolo de Acceso y Epicrisis de Urgencias para la Factura FE-4012.</w:t>
      </w:r>
    </w:p>
    <w:p>
      <w:pPr>
        <w:spacing w:line="264" w:lineRule="auto"/>
        <w:ind w:left="288"/>
      </w:pPr>
      <w:r>
        <w:rPr>
          <w:rFonts w:ascii="Calibri" w:hAnsi="Calibri"/>
          <w:sz w:val="18"/>
        </w:rPr>
        <w:t>• 4. Reporte Anatomopatológico con certificación digital Ley 527/1999 y CUV de RIPS JSON para FE-4013.</w:t>
      </w:r>
    </w:p>
    <w:p>
      <w:pPr>
        <w:spacing w:line="264" w:lineRule="auto"/>
        <w:ind w:left="288"/>
      </w:pPr>
      <w:r>
        <w:rPr>
          <w:rFonts w:ascii="Calibri" w:hAnsi="Calibri"/>
          <w:sz w:val="18"/>
        </w:rPr>
        <w:t>• 5. Escala Objetiva APACHE II (18 puntos) y notas de evolución médica diaria en UCI para la Factura FE-4014.</w:t>
      </w:r>
    </w:p>
    <w:p>
      <w:pPr>
        <w:spacing w:line="264" w:lineRule="auto"/>
        <w:ind w:left="288"/>
      </w:pPr>
      <w:r>
        <w:rPr>
          <w:rFonts w:ascii="Calibri" w:hAnsi="Calibri"/>
          <w:sz w:val="18"/>
        </w:rPr>
        <w:t>• 6. Formulario MIPRES Rad. 20260818104011234567 y Kardex de administración en piso para la Factura FE-4015.</w:t>
      </w:r>
    </w:p>
    <w:p>
      <w:pPr>
        <w:spacing w:line="264" w:lineRule="auto"/>
        <w:ind w:left="288"/>
      </w:pPr>
      <w:r>
        <w:rPr>
          <w:rFonts w:ascii="Calibri" w:hAnsi="Calibri"/>
          <w:sz w:val="18"/>
        </w:rPr>
        <w:t>• 7. Nota Crédito Electrónica DIAN NC-FE4016 por valor de $2.500.000 COP expedida por recaudo en caja.</w:t>
      </w:r>
    </w:p>
    <w:p/>
    <w:p>
      <w:pPr>
        <w:jc w:val="center"/>
      </w:pPr>
      <w:r>
        <w:rPr>
          <w:rFonts w:ascii="Consolas" w:hAnsi="Consolas"/>
          <w:b/>
          <w:color w:val="0F172A"/>
          <w:sz w:val="18"/>
        </w:rPr>
        <w:t>SELLO CRIPTOGRÁFICO SHA-256 DE VERIFICACIÓN FORENSE</w:t>
        <w:br/>
      </w:r>
      <w:r>
        <w:rPr>
          <w:rFonts w:ascii="Consolas" w:hAnsi="Consolas"/>
          <w:color w:val="64748B"/>
          <w:sz w:val="17"/>
        </w:rPr>
        <w:t>F45983871DCAD385F61C301338109D7025DB1807FD154FD1C87951C1E3F5D9A2</w:t>
        <w:br/>
        <w:t>Integridad Probatoria Garantizada · Estándar Ley 527 de 1999</w:t>
      </w:r>
    </w:p>
    <w:p/>
    <w:p>
      <w:pPr>
        <w:spacing w:line="276" w:lineRule="auto"/>
      </w:pPr>
      <w:r>
        <w:rPr>
          <w:rFonts w:ascii="Calibri" w:hAnsi="Calibri"/>
          <w:sz w:val="20"/>
        </w:rPr>
        <w:t>Atentamente,</w:t>
        <w:br/>
        <w:br/>
        <w:br/>
        <w:t>____________________________________________</w:t>
        <w:br/>
        <w:t>COORDINACIÓN DE AUDITORÍA MÉDICA Y CARTERA</w:t>
        <w:br/>
        <w:t>CLÍNICA METROPOLITANA DE ESPECIALIDADES S.A.S.</w:t>
        <w:br/>
        <w:t>NIT: 900.543.210-1 · REPS: 680010123401</w:t>
        <w:br/>
        <w:br/>
        <w:t>Con el respaldo y dictamen pericial de:</w:t>
        <w:br/>
        <w:t>____________________________________________</w:t>
        <w:br/>
        <w:t>MANUEL ENRIQUE PRADA FORERO</w:t>
        <w:br/>
        <w:t>Consultor Jurídico y Pericial de Cartera en Salud</w:t>
        <w:br/>
        <w:t>T.P. No. 176.633 del C.S. de la Judicatura</w:t>
        <w:br/>
        <w:t>Contacto Técnico: manuel@guanes.biz</w:t>
      </w:r>
    </w:p>
    <w:sectPr w:rsidR="00FC693F" w:rsidRPr="0006063C" w:rsidSect="00034616">
      <w:pgSz w:w="12240" w:h="15840"/>
      <w:pgMar w:top="1411" w:right="1411" w:bottom="1411" w:left="141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